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766E"/>
          <w:sz w:val="20"/>
        </w:rPr>
        <w:t>COMPLEXE SCOLAIRE REGARD D’AFRIQUE</w:t>
      </w:r>
    </w:p>
    <w:p>
      <w:pPr>
        <w:jc w:val="center"/>
      </w:pPr>
      <w:r>
        <w:drawing>
          <wp:inline xmlns:a="http://schemas.openxmlformats.org/drawingml/2006/main" xmlns:pic="http://schemas.openxmlformats.org/drawingml/2006/picture">
            <wp:extent cx="1325880" cy="745808"/>
            <wp:docPr id="1" name="Picture 1"/>
            <wp:cNvGraphicFramePr>
              <a:graphicFrameLocks noChangeAspect="1"/>
            </wp:cNvGraphicFramePr>
            <a:graphic>
              <a:graphicData uri="http://schemas.openxmlformats.org/drawingml/2006/picture">
                <pic:pic>
                  <pic:nvPicPr>
                    <pic:cNvPr id="0" name="logo-cned.png"/>
                    <pic:cNvPicPr/>
                  </pic:nvPicPr>
                  <pic:blipFill>
                    <a:blip r:embed="rId10"/>
                    <a:stretch>
                      <a:fillRect/>
                    </a:stretch>
                  </pic:blipFill>
                  <pic:spPr>
                    <a:xfrm>
                      <a:off x="0" y="0"/>
                      <a:ext cx="1325880" cy="745808"/>
                    </a:xfrm>
                    <a:prstGeom prst="rect"/>
                  </pic:spPr>
                </pic:pic>
              </a:graphicData>
            </a:graphic>
          </wp:inline>
        </w:drawing>
      </w:r>
    </w:p>
    <w:p>
      <w:pPr>
        <w:pStyle w:val="Title"/>
        <w:jc w:val="center"/>
      </w:pPr>
      <w:r>
        <w:t>Choisir ses spécialités en première</w:t>
      </w:r>
    </w:p>
    <w:p>
      <w:pPr>
        <w:jc w:val="center"/>
      </w:pPr>
      <w:r>
        <w:rPr>
          <w:i/>
          <w:color w:val="4B5563"/>
          <w:sz w:val="22"/>
        </w:rPr>
        <w:t>Guide d’orientation vers les études supérieures pour les élèves de seconde CNED</w:t>
      </w:r>
    </w:p>
    <w:p>
      <w:r>
        <w:t>Ce tableau propose des combinaisons de trois enseignements de spécialité à privilégier en première selon un projet d’études supérieures. Il s’agit de repères pour construire un dossier cohérent, et non de conditions d’accès automatiques.</w:t>
      </w:r>
    </w:p>
    <w:p>
      <w:r>
        <w:rPr>
          <w:b/>
          <w:color w:val="0F766E"/>
        </w:rPr>
        <w:t xml:space="preserve">Repère essentiel. </w:t>
      </w:r>
      <w:r>
        <w:t>En voie générale, l’élève choisit trois spécialités en première puis en conserve deux en terminale. Les choix doivent tenir compte des goûts, du niveau réel et de l’offre disponible au CNED et dans l’établissement.</w:t>
      </w:r>
    </w:p>
    <w:p>
      <w:pPr>
        <w:pStyle w:val="Heading1"/>
      </w:pPr>
      <w:r>
        <w:t>Tableau de repérage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32"/>
        <w:gridCol w:w="2333"/>
        <w:gridCol w:w="3571"/>
        <w:gridCol w:w="1944"/>
      </w:tblGrid>
      <w:tr>
        <w:trPr>
          <w:tblHeader w:val="true"/>
        </w:trPr>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8"/>
              </w:rPr>
              <w:t>Projet d’études après le bac</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8"/>
              </w:rPr>
              <w:t>3 spécialités à envisager en première</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8"/>
              </w:rPr>
              <w:t>Ce que la combinaison apporte</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8"/>
              </w:rPr>
              <w:t>Point de vigilance</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Médecine, odontologie, pharmacie, maïeutique</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Mathématiques (MATH) • Physique-chimie (PC) • Sciences de la vie et de la Terre (SVT)</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Profil scientifique solide ; les Sciences de la vie et de la Terre (SVT) et la Physique-chimie (PC) préparent aux bases du vivant et de la matière, les Mathématiques (MATH) développent le raisonnement.</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Accès ensuite par PASS ou L.AS ; vérifier les attendus de chaque université.</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Biologie, agronomie, environnement</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Sciences de la vie et de la Terre (SVT) • Physique-chimie (PC) • Mathématiques (MATH)</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Bon socle pour biologie, sciences de la Terre, environnement, agronomie et licences scientifiques.</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Selon la formation, les Mathématiques (MATH) peuvent être plus ou moins centrales.</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Ingénierie, sciences physiques, prépa scientifique</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Mathématiques (MATH) • Physique-chimie (PC) • Sciences de l’ingénieur (SI)</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Approche directement alignée avec le raisonnement mathématique, la modélisation et les systèmes techniques.</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Si les Sciences de l’ingénieur (SI) ne sont pas disponibles, choisir le Numérique et sciences informatiques (NSI) ou les Sciences de la vie et de la Terre (SVT) selon le projet.</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Informatique, data, cybersécurité</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Mathématiques (MATH) • Numérique et sciences informatiques (NSI) • Physique-chimie (PC)</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Les Mathématiques (MATH) soutiennent l’algorithmique et la modélisation ; le Numérique et sciences informatiques (NSI) apporte programmation et structures de données.</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Pour certaines écoles, la Physique-chimie (PC) ou les Sciences de l’ingénieur (SI) peuvent remplacer le NSI ; consulter les fiches de formation.</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Économie, gestion, finance, école de commerce</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Mathématiques (MATH) • Sciences économiques et sociales (SES) • Histoire-géographie, géopolitique et sciences politiques (HGGSP)</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Les Mathématiques (MATH) servent les outils quantitatifs ; les Sciences économiques et sociales (SES) l’analyse économique et sociale ; l’HGGSP le contexte et l’argumentation.</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Les écoles et licences examinent aussi les résultats, la motivation et le niveau en langues.</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Droit, science politique, administration publique</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Histoire-géographie, géopolitique et sciences politiques (HGGSP) • Sciences économiques et sociales (SES) • Humanités, littérature et philosophie (HLP)</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Développe l’analyse des institutions, la compréhension du monde social, la lecture critique et l’expression argumentée.</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Aucune combinaison n’est obligatoire ; privilégier les matières où l’élève réussit et écrit avec précision.</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Communication, journalisme, relations internationales</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Histoire-géographie, géopolitique et sciences politiques (HGGSP) • Langues, littératures et cultures étrangères et régionales (LLCER) • Humanités, littérature et philosophie (HLP)</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Renforce culture générale, analyse de l’actualité, maîtrise de la langue et compréhension interculturelle.</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Lire, écrire, s’informer et pratiquer les langues restent déterminants.</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Lettres, langues, traduction, littérature</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Humanités, littérature et philosophie (HLP) • Langues, littératures et cultures étrangères et régionales (LLCER) • Histoire-géographie, géopolitique et sciences politiques (HGGSP)</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Associe littérature, philosophie, cultures étrangères, analyse de textes et argumentation.</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Choisir les Langues, littératures et cultures étrangères et régionales (LLCER) dans la langue effectivement étudiée au CNED.</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Psychologie, sociologie, sciences humaines</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Sciences économiques et sociales (SES) • Sciences de la vie et de la Terre (SVT) • Humanités, littérature et philosophie (HLP)</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Les Sciences économiques et sociales (SES) éclairent les faits sociaux, les Sciences de la vie et de la Terre (SVT) les bases du vivant et les Humanités, littérature et philosophie (HLP) la réflexion et l’expression.</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Les attendus varient ; les Mathématiques (MATH) peuvent être utiles en psychologie.</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Architecture, design, arts appliqués</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Arts • Mathématiques (MATH) • Physique-chimie (PC)</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Les Arts développent la pratique et l’analyse ; les Mathématiques (MATH) et la Physique-chimie (PC) aident à comprendre espace, structures et matériaux.</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Vérifier les modalités de portfolio, d’entretien et les spécialités proposées.</w:t>
            </w:r>
          </w:p>
        </w:tc>
      </w:tr>
      <w:tr>
        <w:tc>
          <w:tcPr>
            <w:tcW w:type="dxa" w:w="2232"/>
            <w:vAlign w:val="center"/>
            <w:tcMar>
              <w:top w:w="100" w:type="dxa"/>
              <w:start w:w="120" w:type="dxa"/>
              <w:bottom w:w="100" w:type="dxa"/>
              <w:end w:w="120" w:type="dxa"/>
            </w:tcMar>
          </w:tcPr>
          <w:p>
            <w:pPr>
              <w:spacing w:after="0" w:line="247" w:lineRule="auto"/>
            </w:pPr>
            <w:r/>
            <w:r>
              <w:rPr>
                <w:rFonts w:ascii="Aptos" w:hAnsi="Aptos"/>
                <w:b/>
                <w:color w:val="111827"/>
                <w:sz w:val="17"/>
              </w:rPr>
              <w:t>Enseignement primaire ou secondaire</w:t>
            </w:r>
          </w:p>
        </w:tc>
        <w:tc>
          <w:tcPr>
            <w:tcW w:type="dxa" w:w="2333"/>
            <w:vAlign w:val="center"/>
            <w:tcMar>
              <w:top w:w="100" w:type="dxa"/>
              <w:start w:w="120" w:type="dxa"/>
              <w:bottom w:w="100" w:type="dxa"/>
              <w:end w:w="120" w:type="dxa"/>
            </w:tcMar>
          </w:tcPr>
          <w:p>
            <w:pPr>
              <w:spacing w:after="0" w:line="247" w:lineRule="auto"/>
            </w:pPr>
            <w:r/>
            <w:r>
              <w:rPr>
                <w:rFonts w:ascii="Aptos" w:hAnsi="Aptos"/>
                <w:b w:val="0"/>
                <w:color w:val="374151"/>
                <w:sz w:val="17"/>
              </w:rPr>
              <w:t>Selon la discipline : Mathématiques (MATH) / Humanités, littérature et philosophie (HLP) / Langues, littératures et cultures étrangères et régionales (LLCER) / Histoire-géographie, géopolitique et sciences politiques (HGGSP) / Sciences de la vie et de la Terre (SVT)</w:t>
            </w:r>
          </w:p>
        </w:tc>
        <w:tc>
          <w:tcPr>
            <w:tcW w:type="dxa" w:w="3571"/>
            <w:vAlign w:val="center"/>
            <w:tcMar>
              <w:top w:w="100" w:type="dxa"/>
              <w:start w:w="120" w:type="dxa"/>
              <w:bottom w:w="100" w:type="dxa"/>
              <w:end w:w="120" w:type="dxa"/>
            </w:tcMar>
          </w:tcPr>
          <w:p>
            <w:pPr>
              <w:spacing w:after="0" w:line="247" w:lineRule="auto"/>
            </w:pPr>
            <w:r/>
            <w:r>
              <w:rPr>
                <w:rFonts w:ascii="Aptos" w:hAnsi="Aptos"/>
                <w:b w:val="0"/>
                <w:color w:val="374151"/>
                <w:sz w:val="17"/>
              </w:rPr>
              <w:t>Pour enseigner au secondaire, une spécialité liée à la discipline envisagée est judicieuse ; pour le primaire, conserver un profil équilibré.</w:t>
            </w:r>
          </w:p>
        </w:tc>
        <w:tc>
          <w:tcPr>
            <w:tcW w:type="dxa" w:w="1944"/>
            <w:vAlign w:val="center"/>
            <w:tcMar>
              <w:top w:w="100" w:type="dxa"/>
              <w:start w:w="120" w:type="dxa"/>
              <w:bottom w:w="100" w:type="dxa"/>
              <w:end w:w="120" w:type="dxa"/>
            </w:tcMar>
          </w:tcPr>
          <w:p>
            <w:pPr>
              <w:spacing w:after="0" w:line="247" w:lineRule="auto"/>
            </w:pPr>
            <w:r/>
            <w:r>
              <w:rPr>
                <w:rFonts w:ascii="Aptos" w:hAnsi="Aptos"/>
                <w:b w:val="0"/>
                <w:color w:val="374151"/>
                <w:sz w:val="17"/>
              </w:rPr>
              <w:t>Le projet se précise progressivement en licence et en master.</w:t>
            </w:r>
          </w:p>
        </w:tc>
      </w:tr>
      <w:tr>
        <w:tc>
          <w:tcPr>
            <w:tcW w:type="dxa" w:w="2232"/>
            <w:vAlign w:val="center"/>
            <w:tcMar>
              <w:top w:w="100" w:type="dxa"/>
              <w:start w:w="120" w:type="dxa"/>
              <w:bottom w:w="100" w:type="dxa"/>
              <w:end w:w="120" w:type="dxa"/>
            </w:tcMar>
            <w:shd w:fill="F0FDFA"/>
          </w:tcPr>
          <w:p>
            <w:pPr>
              <w:spacing w:after="0" w:line="247" w:lineRule="auto"/>
            </w:pPr>
            <w:r/>
            <w:r>
              <w:rPr>
                <w:rFonts w:ascii="Aptos" w:hAnsi="Aptos"/>
                <w:b/>
                <w:color w:val="111827"/>
                <w:sz w:val="17"/>
              </w:rPr>
              <w:t>STAPS, sport, préparation physique</w:t>
            </w:r>
          </w:p>
        </w:tc>
        <w:tc>
          <w:tcPr>
            <w:tcW w:type="dxa" w:w="2333"/>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Sciences de la vie et de la Terre (SVT) • Mathématiques (MATH) • Éducation physique, pratiques et culture sportives (EPPCS)*</w:t>
            </w:r>
          </w:p>
        </w:tc>
        <w:tc>
          <w:tcPr>
            <w:tcW w:type="dxa" w:w="3571"/>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Les Sciences de la vie et de la Terre (SVT) abordent le corps et la santé, les Mathématiques (MATH) l’analyse, et l’EPPCS l’engagement dans les pratiques physiques.</w:t>
            </w:r>
          </w:p>
        </w:tc>
        <w:tc>
          <w:tcPr>
            <w:tcW w:type="dxa" w:w="1944"/>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*L’Éducation physique, pratiques et culture sportives (EPPCS) n’est pas listée parmi les spécialités CNED consultées : confirmer l’offre locale.</w:t>
            </w:r>
          </w:p>
        </w:tc>
      </w:tr>
    </w:tbl>
    <w:p>
      <w:pPr>
        <w:pStyle w:val="Heading1"/>
      </w:pPr>
      <w:r>
        <w:t>Comment utiliser ce tableau</w:t>
      </w:r>
    </w:p>
    <w:p>
      <w:pPr>
        <w:pStyle w:val="ListBullet"/>
      </w:pPr>
      <w:r>
        <w:t>Pars du domaine qui t’intéresse, puis compare les attendus des formations visées sur Parcoursup.</w:t>
      </w:r>
    </w:p>
    <w:p>
      <w:pPr>
        <w:pStyle w:val="ListBullet"/>
      </w:pPr>
      <w:r>
        <w:t>Choisis trois spécialités que tu peux réellement réussir et dans lesquelles tu as envie de t’investir.</w:t>
      </w:r>
    </w:p>
    <w:p>
      <w:pPr>
        <w:pStyle w:val="ListBullet"/>
      </w:pPr>
      <w:r>
        <w:t>En terminale, conserve les deux spécialités les plus cohérentes avec ton projet et tes résultats ; une option de mathématiques peut parfois compléter le parcours.</w:t>
      </w:r>
    </w:p>
    <w:p>
      <w:pPr>
        <w:pStyle w:val="ListBullet"/>
      </w:pPr>
      <w:r>
        <w:t>Si une spécialité n’est pas disponible dans ton environnement, demande conseil au référent d’orientation et étudie les alternatives acceptées par les formations.</w:t>
      </w:r>
    </w:p>
    <w:p>
      <w:pPr>
        <w:pStyle w:val="Heading1"/>
      </w:pPr>
      <w:r>
        <w:t>Sources et vérifications</w:t>
      </w:r>
    </w:p>
    <w:p>
      <w:r>
        <w:t>Informations consultées le 9 septembre 2026. Les intitulés et l’offre peuvent évoluer : les élèves doivent relire les fiches des formations au moment de candidater.</w:t>
      </w:r>
    </w:p>
    <w:p>
      <w:pPr>
        <w:pStyle w:val="ListBullet"/>
        <w:spacing w:after="20"/>
      </w:pPr>
      <w:hyperlink r:id="rId11">
        <w:r>
          <w:rPr>
            <w:color w:val="1D4ED8"/>
            <w:u w:val="single"/>
          </w:rPr>
          <w:t>CNED — Première générale : programme et spécialités proposées</w:t>
        </w:r>
      </w:hyperlink>
    </w:p>
    <w:p>
      <w:pPr>
        <w:pStyle w:val="ListBullet"/>
        <w:spacing w:after="20"/>
      </w:pPr>
      <w:hyperlink r:id="rId12">
        <w:r>
          <w:rPr>
            <w:color w:val="1D4ED8"/>
            <w:u w:val="single"/>
          </w:rPr>
          <w:t>Ministère — Choisir ses spécialités pour préparer ses études supérieures</w:t>
        </w:r>
      </w:hyperlink>
    </w:p>
    <w:p>
      <w:pPr>
        <w:pStyle w:val="ListBullet"/>
        <w:spacing w:after="20"/>
      </w:pPr>
      <w:hyperlink r:id="rId13">
        <w:r>
          <w:rPr>
            <w:color w:val="1D4ED8"/>
            <w:u w:val="single"/>
          </w:rPr>
          <w:t>Éduscol — Cycle terminal de la voie générale</w:t>
        </w:r>
      </w:hyperlink>
    </w:p>
    <w:p>
      <w:pPr>
        <w:pStyle w:val="ListBullet"/>
        <w:spacing w:after="20"/>
      </w:pPr>
      <w:hyperlink r:id="rId14">
        <w:r>
          <w:rPr>
            <w:color w:val="1D4ED8"/>
            <w:u w:val="single"/>
          </w:rPr>
          <w:t>Parcoursup — Choisir ses spécialités en seconde et première</w:t>
        </w:r>
      </w:hyperlink>
    </w:p>
    <w:p>
      <w:pPr>
        <w:pStyle w:val="ListBullet"/>
        <w:spacing w:after="20"/>
      </w:pPr>
      <w:hyperlink r:id="rId15">
        <w:r>
          <w:rPr>
            <w:color w:val="1D4ED8"/>
            <w:u w:val="single"/>
          </w:rPr>
          <w:t>Onisep — Les principaux domaines de formation</w:t>
        </w:r>
      </w:hyperlink>
    </w:p>
    <w:p>
      <w:pPr>
        <w:pStyle w:val="Heading1"/>
      </w:pPr>
      <w:r>
        <w:t>Légende des abréviations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296"/>
        <w:gridCol w:w="3528"/>
        <w:gridCol w:w="1296"/>
        <w:gridCol w:w="3528"/>
      </w:tblGrid>
      <w:tr>
        <w:trPr>
          <w:tblHeader w:val="true"/>
        </w:trPr>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7"/>
              </w:rPr>
              <w:t>Abrév.</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7"/>
              </w:rPr>
              <w:t>Intitulé complet</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7"/>
              </w:rPr>
              <w:t>Abrév.</w:t>
            </w:r>
          </w:p>
        </w:tc>
        <w:tc>
          <w:tcPr>
            <w:tcW w:type="dxa" w:w="2592"/>
            <w:vAlign w:val="center"/>
            <w:tcMar>
              <w:top w:w="100" w:type="dxa"/>
              <w:start w:w="120" w:type="dxa"/>
              <w:bottom w:w="100" w:type="dxa"/>
              <w:end w:w="120" w:type="dxa"/>
            </w:tcMar>
            <w:shd w:fill="0F766E"/>
          </w:tcPr>
          <w:p>
            <w:pPr>
              <w:spacing w:after="0" w:line="247" w:lineRule="auto"/>
            </w:pPr>
            <w:r/>
            <w:r>
              <w:rPr>
                <w:rFonts w:ascii="Aptos" w:hAnsi="Aptos"/>
                <w:b/>
                <w:color w:val="FFFFFF"/>
                <w:sz w:val="17"/>
              </w:rPr>
              <w:t>Intitulé complet</w:t>
            </w:r>
          </w:p>
        </w:tc>
      </w:tr>
      <w:tr>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CNED</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Centre national d’enseignement à distance</w:t>
            </w:r>
          </w:p>
        </w:tc>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MATH</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Mathématiques</w:t>
            </w:r>
          </w:p>
        </w:tc>
      </w:tr>
      <w:tr>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PC</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Physique-chimie</w:t>
            </w:r>
          </w:p>
        </w:tc>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SVT</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Sciences de la vie et de la Terre</w:t>
            </w:r>
          </w:p>
        </w:tc>
      </w:tr>
      <w:tr>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SI</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Sciences de l’ingénieur</w:t>
            </w:r>
          </w:p>
        </w:tc>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NSI</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Numérique et sciences informatiques</w:t>
            </w:r>
          </w:p>
        </w:tc>
      </w:tr>
      <w:tr>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SES</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Sciences économiques et sociales</w:t>
            </w:r>
          </w:p>
        </w:tc>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HGGSP</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Histoire-géographie, géopolitique et sciences politiques</w:t>
            </w:r>
          </w:p>
        </w:tc>
      </w:tr>
      <w:tr>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HLP</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Humanités, littérature et philosophie</w:t>
            </w:r>
          </w:p>
        </w:tc>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LLCER</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Langues, littératures et cultures étrangères et régionales</w:t>
            </w:r>
          </w:p>
        </w:tc>
      </w:tr>
      <w:tr>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PASS</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Parcours d’accès spécifique santé</w:t>
            </w:r>
          </w:p>
        </w:tc>
        <w:tc>
          <w:tcPr>
            <w:tcW w:type="dxa" w:w="1296"/>
            <w:vAlign w:val="center"/>
            <w:tcMar>
              <w:top w:w="100" w:type="dxa"/>
              <w:start w:w="120" w:type="dxa"/>
              <w:bottom w:w="100" w:type="dxa"/>
              <w:end w:w="120" w:type="dxa"/>
            </w:tcMar>
            <w:shd w:fill="F0FDFA"/>
          </w:tcPr>
          <w:p>
            <w:pPr>
              <w:spacing w:after="0" w:line="247" w:lineRule="auto"/>
            </w:pPr>
            <w:r/>
            <w:r>
              <w:rPr>
                <w:rFonts w:ascii="Aptos" w:hAnsi="Aptos"/>
                <w:b/>
                <w:color w:val="111827"/>
                <w:sz w:val="17"/>
              </w:rPr>
              <w:t>L.AS</w:t>
            </w:r>
          </w:p>
        </w:tc>
        <w:tc>
          <w:tcPr>
            <w:tcW w:type="dxa" w:w="3528"/>
            <w:vAlign w:val="center"/>
            <w:tcMar>
              <w:top w:w="100" w:type="dxa"/>
              <w:start w:w="120" w:type="dxa"/>
              <w:bottom w:w="100" w:type="dxa"/>
              <w:end w:w="120" w:type="dxa"/>
            </w:tcMar>
            <w:shd w:fill="F0FDFA"/>
          </w:tcPr>
          <w:p>
            <w:pPr>
              <w:spacing w:after="0" w:line="247" w:lineRule="auto"/>
            </w:pPr>
            <w:r/>
            <w:r>
              <w:rPr>
                <w:rFonts w:ascii="Aptos" w:hAnsi="Aptos"/>
                <w:b w:val="0"/>
                <w:color w:val="374151"/>
                <w:sz w:val="17"/>
              </w:rPr>
              <w:t>Licence avec accès santé</w:t>
            </w:r>
          </w:p>
        </w:tc>
      </w:tr>
      <w:tr>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STAPS</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Sciences et techniques des activités physiques et sportives</w:t>
            </w:r>
          </w:p>
        </w:tc>
        <w:tc>
          <w:tcPr>
            <w:tcW w:type="dxa" w:w="1296"/>
            <w:vAlign w:val="center"/>
            <w:tcMar>
              <w:top w:w="100" w:type="dxa"/>
              <w:start w:w="120" w:type="dxa"/>
              <w:bottom w:w="100" w:type="dxa"/>
              <w:end w:w="120" w:type="dxa"/>
            </w:tcMar>
          </w:tcPr>
          <w:p>
            <w:pPr>
              <w:spacing w:after="0" w:line="247" w:lineRule="auto"/>
            </w:pPr>
            <w:r/>
            <w:r>
              <w:rPr>
                <w:rFonts w:ascii="Aptos" w:hAnsi="Aptos"/>
                <w:b/>
                <w:color w:val="111827"/>
                <w:sz w:val="17"/>
              </w:rPr>
              <w:t>EPPCS</w:t>
            </w:r>
          </w:p>
        </w:tc>
        <w:tc>
          <w:tcPr>
            <w:tcW w:type="dxa" w:w="3528"/>
            <w:vAlign w:val="center"/>
            <w:tcMar>
              <w:top w:w="100" w:type="dxa"/>
              <w:start w:w="120" w:type="dxa"/>
              <w:bottom w:w="100" w:type="dxa"/>
              <w:end w:w="120" w:type="dxa"/>
            </w:tcMar>
          </w:tcPr>
          <w:p>
            <w:pPr>
              <w:spacing w:after="0" w:line="247" w:lineRule="auto"/>
            </w:pPr>
            <w:r/>
            <w:r>
              <w:rPr>
                <w:rFonts w:ascii="Aptos" w:hAnsi="Aptos"/>
                <w:b w:val="0"/>
                <w:color w:val="374151"/>
                <w:sz w:val="17"/>
              </w:rPr>
              <w:t>Éducation physique, pratiques et culture sportives</w:t>
            </w:r>
          </w:p>
        </w:tc>
      </w:tr>
    </w:tbl>
    <w:sectPr w:rsidR="00FC693F" w:rsidRPr="0006063C" w:rsidSect="00034616">
      <w:headerReference w:type="default" r:id="rId9"/>
      <w:footerReference w:type="default" r:id="rId16"/>
      <w:pgSz w:w="12240" w:h="15840"/>
      <w:pgMar w:top="1123" w:right="936" w:bottom="893" w:left="936"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Complexe scolaire Regard d’Afrique  •  Document d’orientation interne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F766E"/>
        <w:sz w:val="16"/>
      </w:rPr>
      <w:t>COMPLEXE SCOLAIRE REGARD D’AFRIQUE  •  ORIENTATION SECONDE CNED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182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hyperlink" Target="https://www.cned.fr/lycee/classe-de-premiere-generale" TargetMode="External"/><Relationship Id="rId12" Type="http://schemas.openxmlformats.org/officeDocument/2006/relationships/hyperlink" Target="https://www.education.gouv.fr/reussir-au-lycee/choisir-ses-enseignements-de-specialite-au-lycee-pour-preparer-ses-etudes-superieures-325475" TargetMode="External"/><Relationship Id="rId13" Type="http://schemas.openxmlformats.org/officeDocument/2006/relationships/hyperlink" Target="https://eduscol.education.gouv.fr/5418/cycle-terminal-de-la-voie-generale" TargetMode="External"/><Relationship Id="rId14" Type="http://schemas.openxmlformats.org/officeDocument/2006/relationships/hyperlink" Target="https://www.parcoursup.gouv.fr/construire-son-projet-d-orientation/comment-choisir-vos-specialites-en-seconde-et-premiere-1619" TargetMode="External"/><Relationship Id="rId15" Type="http://schemas.openxmlformats.org/officeDocument/2006/relationships/hyperlink" Target="https://www.onisep.fr/formation/les-principaux-domaines-de-formation"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